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hanging="0"/>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Normal"/>
        <w:spacing w:before="0" w:after="0"/>
        <w:jc w:val="center"/>
        <w:rPr>
          <w:rFonts w:cs="Calibri"/>
          <w:b/>
          <w:b/>
          <w:color w:val="000000"/>
          <w:sz w:val="24"/>
          <w:szCs w:val="24"/>
          <w:u w:val="none"/>
        </w:rPr>
      </w:pPr>
      <w:r>
        <w:rPr>
          <w:rFonts w:eastAsia="Calibri" w:cs="Calibri" w:cstheme="minorHAnsi"/>
          <w:b/>
          <w:color w:val="auto"/>
          <w:sz w:val="30"/>
          <w:szCs w:val="30"/>
          <w:u w:val="none"/>
          <w:lang w:val="pl-PL"/>
        </w:rPr>
        <w:t>Wiosenne Inspiracje: Rodzinny Konkurs Stroików Wielkanocnych</w:t>
      </w:r>
    </w:p>
    <w:p>
      <w:pPr>
        <w:pStyle w:val="Standard"/>
        <w:jc w:val="center"/>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both"/>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left="-15" w:hanging="0"/>
        <w:jc w:val="both"/>
        <w:rPr/>
      </w:pPr>
      <w:r>
        <w:rPr>
          <w:rFonts w:cs="Calibri" w:cstheme="minorHAnsi"/>
          <w:lang w:val="pl-PL"/>
        </w:rPr>
        <w:t>3. Wyrażam zgodę na nieodpłatne przetwarzanie przez OKSiR mojego wizerunku/ wizerunku mojego dziecka/podopiecznego* który zostanie utrwalony na fotografiach wykonanych podczas Konkursu, a to w celu dokumentowania i promowania statutowej działalności OKSiR.</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5. Oświadczam, że przenoszę na rzecz OKSiR nieodpłatnie i bez ograniczeń czasowych prawa                          autorskie do zgłoszonego w Konkursie stroiku (utworu), którego jestem twórcą/moje dziecko/podopieczny, i prawo do korzystania z niego w następujących polach : utrwalania i rozpowszechniania publicznego w mediach wymienionych w pkt.3.</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W przypadku gdy nie odbiorę swojego stroiku w dniu Konkursu, wyrażam  zgodę na jego nieodpłatne przekazanie Stowarzyszeniu Pozytywni w celu przeprowadzenia aukcji charytatywnej.</w:t>
      </w:r>
      <w:bookmarkStart w:id="1" w:name="_Hlk129253394"/>
      <w:bookmarkEnd w:id="1"/>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Miejscowość………………………………., data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Kontakt: Imię: ……………………………….. tel.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sz w:val="20"/>
          <w:szCs w:val="20"/>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Textbody"/>
        <w:spacing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suppressAutoHyphens w:val="tru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Hyperlink"/>
    <w:qFormat/>
    <w:rPr>
      <w:color w:val="000080"/>
      <w:u w:val="single"/>
    </w:rPr>
  </w:style>
  <w:style w:type="character" w:styleId="Czeinternetowe">
    <w:name w:val="Łącze internetowe"/>
    <w:rPr>
      <w:color w:val="000080"/>
      <w:u w:val="single"/>
      <w:lang w:val="zxx" w:eastAsia="zxx" w:bidi="zxx"/>
    </w:rPr>
  </w:style>
  <w:style w:type="paragraph" w:styleId="Nagwek" w:customStyle="1">
    <w:name w:val="Nagłówek"/>
    <w:next w:val="Textbody"/>
    <w:qFormat/>
    <w:pPr>
      <w:keepNext w:val="true"/>
      <w:widowControl/>
      <w:suppressAutoHyphens w:val="tru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Application>LibreOffice/7.3.2.2$Windows_X86_64 LibreOffice_project/49f2b1bff42cfccbd8f788c8dc32c1c309559be0</Application>
  <AppVersion>15.0000</AppVersion>
  <Pages>2</Pages>
  <Words>816</Words>
  <Characters>5466</Characters>
  <CharactersWithSpaces>6266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2023-03-09T08:09:00Z</dcterms:created>
  <dc:creator>Tamara Paw</dc:creator>
  <dc:description/>
  <dc:language>pl-PL</dc:language>
  <cp:lastModifiedBy/>
  <cp:lastPrinted>2024-02-27T13:43:34Z</cp:lastPrinted>
  <dcterms:modified xsi:type="dcterms:W3CDTF">2024-02-27T13:49:32Z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